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1C70" w14:textId="183352BD" w:rsidR="008F320C" w:rsidRPr="00DA3B82" w:rsidRDefault="00DB197D" w:rsidP="008F320C">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r>
        <w:rPr>
          <w:rFonts w:ascii="Calibri" w:eastAsia="Times New Roman" w:hAnsi="Calibri" w:cs="Calibri"/>
          <w:i/>
          <w:iCs/>
          <w:color w:val="000000"/>
          <w:kern w:val="0"/>
          <w:sz w:val="22"/>
          <w:szCs w:val="22"/>
          <w:lang w:eastAsia="it-IT"/>
          <w14:ligatures w14:val="none"/>
        </w:rPr>
        <w:t xml:space="preserve">nota stampa n. </w:t>
      </w:r>
      <w:r w:rsidR="00983DDE">
        <w:rPr>
          <w:rFonts w:ascii="Calibri" w:eastAsia="Times New Roman" w:hAnsi="Calibri" w:cs="Calibri"/>
          <w:i/>
          <w:iCs/>
          <w:color w:val="000000"/>
          <w:kern w:val="0"/>
          <w:sz w:val="22"/>
          <w:szCs w:val="22"/>
          <w:lang w:eastAsia="it-IT"/>
          <w14:ligatures w14:val="none"/>
        </w:rPr>
        <w:t>8</w:t>
      </w:r>
    </w:p>
    <w:p w14:paraId="2DA466B7" w14:textId="77777777" w:rsidR="008C5DD9" w:rsidRPr="00DA3B82" w:rsidRDefault="008C5DD9" w:rsidP="008F320C">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p>
    <w:p w14:paraId="71041C9F" w14:textId="1E709FB0" w:rsidR="008F320C" w:rsidRPr="009E2752" w:rsidRDefault="00D56A0E" w:rsidP="009E2752">
      <w:pPr>
        <w:jc w:val="center"/>
        <w:rPr>
          <w:rFonts w:ascii="Calibri" w:hAnsi="Calibri" w:cs="Calibri"/>
          <w:b/>
          <w:bCs/>
          <w:sz w:val="26"/>
          <w:szCs w:val="26"/>
        </w:rPr>
      </w:pPr>
      <w:r>
        <w:rPr>
          <w:rFonts w:ascii="Calibri" w:hAnsi="Calibri" w:cs="Calibri"/>
          <w:b/>
          <w:bCs/>
          <w:sz w:val="26"/>
          <w:szCs w:val="26"/>
        </w:rPr>
        <w:t xml:space="preserve">A BEER&amp;FOOD ATTRACTION LA </w:t>
      </w:r>
      <w:r w:rsidR="00FC7ACB">
        <w:rPr>
          <w:rFonts w:ascii="Calibri" w:hAnsi="Calibri" w:cs="Calibri"/>
          <w:b/>
          <w:bCs/>
          <w:sz w:val="26"/>
          <w:szCs w:val="26"/>
        </w:rPr>
        <w:t>“</w:t>
      </w:r>
      <w:r>
        <w:rPr>
          <w:rFonts w:ascii="Calibri" w:hAnsi="Calibri" w:cs="Calibri"/>
          <w:b/>
          <w:bCs/>
          <w:sz w:val="26"/>
          <w:szCs w:val="26"/>
        </w:rPr>
        <w:t>FOTOGRAFIA</w:t>
      </w:r>
      <w:r w:rsidR="00FC7ACB">
        <w:rPr>
          <w:rFonts w:ascii="Calibri" w:hAnsi="Calibri" w:cs="Calibri"/>
          <w:b/>
          <w:bCs/>
          <w:sz w:val="26"/>
          <w:szCs w:val="26"/>
        </w:rPr>
        <w:t>”</w:t>
      </w:r>
      <w:r>
        <w:rPr>
          <w:rFonts w:ascii="Calibri" w:hAnsi="Calibri" w:cs="Calibri"/>
          <w:b/>
          <w:bCs/>
          <w:sz w:val="26"/>
          <w:szCs w:val="26"/>
        </w:rPr>
        <w:t xml:space="preserve"> </w:t>
      </w:r>
      <w:r w:rsidR="009E2752" w:rsidRPr="009E2752">
        <w:rPr>
          <w:rFonts w:ascii="Calibri" w:hAnsi="Calibri" w:cs="Calibri"/>
          <w:b/>
          <w:bCs/>
          <w:sz w:val="26"/>
          <w:szCs w:val="26"/>
        </w:rPr>
        <w:t>ECONOMIC</w:t>
      </w:r>
      <w:r w:rsidR="00F269F6">
        <w:rPr>
          <w:rFonts w:ascii="Calibri" w:hAnsi="Calibri" w:cs="Calibri"/>
          <w:b/>
          <w:bCs/>
          <w:sz w:val="26"/>
          <w:szCs w:val="26"/>
        </w:rPr>
        <w:t xml:space="preserve">A </w:t>
      </w:r>
      <w:r w:rsidR="00DB197D">
        <w:rPr>
          <w:rFonts w:ascii="Calibri" w:hAnsi="Calibri" w:cs="Calibri"/>
          <w:b/>
          <w:bCs/>
          <w:sz w:val="26"/>
          <w:szCs w:val="26"/>
        </w:rPr>
        <w:t xml:space="preserve">DEL MERCATO </w:t>
      </w:r>
    </w:p>
    <w:p w14:paraId="01AC9F26" w14:textId="77777777" w:rsidR="00055B8E" w:rsidRPr="00DA3B82" w:rsidRDefault="00055B8E" w:rsidP="00055B8E">
      <w:pPr>
        <w:shd w:val="clear" w:color="auto" w:fill="FFFFFF"/>
        <w:spacing w:after="0" w:line="240" w:lineRule="auto"/>
        <w:jc w:val="center"/>
        <w:rPr>
          <w:rFonts w:ascii="Aptos" w:eastAsia="Times New Roman" w:hAnsi="Aptos" w:cs="Times New Roman"/>
          <w:color w:val="000000"/>
          <w:kern w:val="0"/>
          <w:lang w:eastAsia="it-IT"/>
          <w14:ligatures w14:val="none"/>
        </w:rPr>
      </w:pPr>
      <w:hyperlink r:id="rId7" w:history="1">
        <w:r w:rsidRPr="00DA3B82">
          <w:rPr>
            <w:rFonts w:ascii="Calibri" w:eastAsia="Times New Roman" w:hAnsi="Calibri" w:cs="Calibri"/>
            <w:color w:val="467886"/>
            <w:kern w:val="0"/>
            <w:u w:val="single"/>
            <w:lang w:eastAsia="it-IT"/>
            <w14:ligatures w14:val="none"/>
          </w:rPr>
          <w:t>www.beerandfoodattraction.it</w:t>
        </w:r>
      </w:hyperlink>
      <w:r w:rsidRPr="00DA3B82">
        <w:rPr>
          <w:rFonts w:ascii="Calibri" w:eastAsia="Times New Roman" w:hAnsi="Calibri" w:cs="Calibri"/>
          <w:color w:val="005A95"/>
          <w:kern w:val="0"/>
          <w:lang w:eastAsia="it-IT"/>
          <w14:ligatures w14:val="none"/>
        </w:rPr>
        <w:br/>
      </w:r>
      <w:hyperlink r:id="rId8" w:history="1">
        <w:r w:rsidRPr="00DA3B82">
          <w:rPr>
            <w:rFonts w:ascii="Calibri" w:eastAsia="Times New Roman" w:hAnsi="Calibri" w:cs="Calibri"/>
            <w:color w:val="467886"/>
            <w:kern w:val="0"/>
            <w:u w:val="single"/>
            <w:lang w:eastAsia="it-IT"/>
            <w14:ligatures w14:val="none"/>
          </w:rPr>
          <w:t>www.mixologyattraction.com/it</w:t>
        </w:r>
      </w:hyperlink>
    </w:p>
    <w:p w14:paraId="3FBE46BD" w14:textId="77777777" w:rsidR="00055B8E" w:rsidRDefault="00055B8E" w:rsidP="00055B8E">
      <w:pPr>
        <w:rPr>
          <w:rFonts w:ascii="Calibri" w:hAnsi="Calibri" w:cs="Calibri"/>
          <w:b/>
          <w:bCs/>
          <w:sz w:val="26"/>
          <w:szCs w:val="26"/>
        </w:rPr>
      </w:pPr>
    </w:p>
    <w:p w14:paraId="335E765D" w14:textId="31878B0C" w:rsidR="00D27C87" w:rsidRPr="00D27C87" w:rsidRDefault="009E2752" w:rsidP="00D27C87">
      <w:pPr>
        <w:spacing w:after="0" w:line="240" w:lineRule="auto"/>
        <w:jc w:val="both"/>
        <w:rPr>
          <w:rFonts w:ascii="Calibri" w:hAnsi="Calibri" w:cs="Calibri"/>
          <w:b/>
          <w:bCs/>
          <w:sz w:val="22"/>
          <w:szCs w:val="22"/>
        </w:rPr>
      </w:pPr>
      <w:r w:rsidRPr="00D27C87">
        <w:rPr>
          <w:rFonts w:ascii="Calibri" w:hAnsi="Calibri" w:cs="Calibri"/>
          <w:b/>
          <w:bCs/>
          <w:sz w:val="22"/>
          <w:szCs w:val="22"/>
        </w:rPr>
        <w:t>BIRRA: VALORE STABILE, CAMBIANO I MODELLI DI CONSUMO</w:t>
      </w:r>
    </w:p>
    <w:p w14:paraId="49EFAFCB" w14:textId="058C5C61" w:rsidR="00D27C87" w:rsidRPr="00D27C87" w:rsidRDefault="00D27C87" w:rsidP="00D27C87">
      <w:pPr>
        <w:spacing w:after="0" w:line="240" w:lineRule="auto"/>
        <w:jc w:val="both"/>
        <w:rPr>
          <w:rFonts w:ascii="Calibri" w:hAnsi="Calibri" w:cs="Calibri"/>
          <w:sz w:val="22"/>
          <w:szCs w:val="22"/>
        </w:rPr>
      </w:pPr>
      <w:r w:rsidRPr="00D27C87">
        <w:rPr>
          <w:rFonts w:ascii="Calibri" w:hAnsi="Calibri" w:cs="Calibri"/>
          <w:sz w:val="22"/>
          <w:szCs w:val="22"/>
        </w:rPr>
        <w:t>In Italia il comparto</w:t>
      </w:r>
      <w:r>
        <w:rPr>
          <w:rFonts w:ascii="Calibri" w:hAnsi="Calibri" w:cs="Calibri"/>
          <w:sz w:val="22"/>
          <w:szCs w:val="22"/>
        </w:rPr>
        <w:t xml:space="preserve"> birrario</w:t>
      </w:r>
      <w:r w:rsidRPr="00D27C87">
        <w:rPr>
          <w:rFonts w:ascii="Calibri" w:hAnsi="Calibri" w:cs="Calibri"/>
          <w:sz w:val="22"/>
          <w:szCs w:val="22"/>
        </w:rPr>
        <w:t xml:space="preserve"> raggiunge oggi un valore complessivo di </w:t>
      </w:r>
      <w:r w:rsidRPr="00D27C87">
        <w:rPr>
          <w:rFonts w:ascii="Calibri" w:hAnsi="Calibri" w:cs="Calibri"/>
          <w:b/>
          <w:bCs/>
          <w:sz w:val="22"/>
          <w:szCs w:val="22"/>
        </w:rPr>
        <w:t>10,4 miliardi di euro</w:t>
      </w:r>
      <w:r w:rsidRPr="00D27C87">
        <w:rPr>
          <w:rFonts w:ascii="Calibri" w:hAnsi="Calibri" w:cs="Calibri"/>
          <w:sz w:val="22"/>
          <w:szCs w:val="22"/>
        </w:rPr>
        <w:t xml:space="preserve"> e genera </w:t>
      </w:r>
      <w:r w:rsidRPr="00D27C87">
        <w:rPr>
          <w:rFonts w:ascii="Calibri" w:hAnsi="Calibri" w:cs="Calibri"/>
          <w:b/>
          <w:bCs/>
          <w:sz w:val="22"/>
          <w:szCs w:val="22"/>
        </w:rPr>
        <w:t>112.000 posti di lavoro</w:t>
      </w:r>
      <w:r w:rsidRPr="00D27C87">
        <w:rPr>
          <w:rFonts w:ascii="Calibri" w:hAnsi="Calibri" w:cs="Calibri"/>
          <w:sz w:val="22"/>
          <w:szCs w:val="22"/>
        </w:rPr>
        <w:t xml:space="preserve"> lungo l’intera filiera</w:t>
      </w:r>
      <w:r>
        <w:rPr>
          <w:rFonts w:ascii="Calibri" w:hAnsi="Calibri" w:cs="Calibri"/>
          <w:sz w:val="22"/>
          <w:szCs w:val="22"/>
        </w:rPr>
        <w:t>, s</w:t>
      </w:r>
      <w:r w:rsidRPr="00D27C87">
        <w:rPr>
          <w:rFonts w:ascii="Calibri" w:hAnsi="Calibri" w:cs="Calibri"/>
          <w:sz w:val="22"/>
          <w:szCs w:val="22"/>
        </w:rPr>
        <w:t xml:space="preserve">econdo i dati </w:t>
      </w:r>
      <w:proofErr w:type="spellStart"/>
      <w:r w:rsidRPr="00D27C87">
        <w:rPr>
          <w:rFonts w:ascii="Calibri" w:hAnsi="Calibri" w:cs="Calibri"/>
          <w:b/>
          <w:bCs/>
          <w:sz w:val="22"/>
          <w:szCs w:val="22"/>
        </w:rPr>
        <w:t>Assobirra</w:t>
      </w:r>
      <w:proofErr w:type="spellEnd"/>
      <w:r>
        <w:rPr>
          <w:rFonts w:ascii="Calibri" w:hAnsi="Calibri" w:cs="Calibri"/>
          <w:sz w:val="22"/>
          <w:szCs w:val="22"/>
        </w:rPr>
        <w:t>.</w:t>
      </w:r>
    </w:p>
    <w:p w14:paraId="0B37C8B4" w14:textId="77777777" w:rsidR="00D27C87" w:rsidRPr="00D27C87" w:rsidRDefault="00D27C87" w:rsidP="00D27C87">
      <w:pPr>
        <w:spacing w:after="0" w:line="240" w:lineRule="auto"/>
        <w:jc w:val="both"/>
        <w:rPr>
          <w:rFonts w:ascii="Calibri" w:hAnsi="Calibri" w:cs="Calibri"/>
          <w:sz w:val="22"/>
          <w:szCs w:val="22"/>
        </w:rPr>
      </w:pPr>
      <w:r w:rsidRPr="00D27C87">
        <w:rPr>
          <w:rFonts w:ascii="Calibri" w:hAnsi="Calibri" w:cs="Calibri"/>
          <w:sz w:val="22"/>
          <w:szCs w:val="22"/>
        </w:rPr>
        <w:t xml:space="preserve">Particolarmente significativa è la dinamica delle </w:t>
      </w:r>
      <w:r w:rsidRPr="00D27C87">
        <w:rPr>
          <w:rFonts w:ascii="Calibri" w:hAnsi="Calibri" w:cs="Calibri"/>
          <w:b/>
          <w:bCs/>
          <w:sz w:val="22"/>
          <w:szCs w:val="22"/>
        </w:rPr>
        <w:t>birre analcoliche</w:t>
      </w:r>
      <w:r w:rsidRPr="00D27C87">
        <w:rPr>
          <w:rFonts w:ascii="Calibri" w:hAnsi="Calibri" w:cs="Calibri"/>
          <w:sz w:val="22"/>
          <w:szCs w:val="22"/>
        </w:rPr>
        <w:t xml:space="preserve">, che dal periodo </w:t>
      </w:r>
      <w:proofErr w:type="spellStart"/>
      <w:r w:rsidRPr="00D27C87">
        <w:rPr>
          <w:rFonts w:ascii="Calibri" w:hAnsi="Calibri" w:cs="Calibri"/>
          <w:sz w:val="22"/>
          <w:szCs w:val="22"/>
        </w:rPr>
        <w:t>pre</w:t>
      </w:r>
      <w:proofErr w:type="spellEnd"/>
      <w:r w:rsidRPr="00D27C87">
        <w:rPr>
          <w:rFonts w:ascii="Calibri" w:hAnsi="Calibri" w:cs="Calibri"/>
          <w:sz w:val="22"/>
          <w:szCs w:val="22"/>
        </w:rPr>
        <w:t xml:space="preserve">-Covid al 2025 hanno visto gli </w:t>
      </w:r>
      <w:r w:rsidRPr="00D27C87">
        <w:rPr>
          <w:rFonts w:ascii="Calibri" w:hAnsi="Calibri" w:cs="Calibri"/>
          <w:b/>
          <w:bCs/>
          <w:sz w:val="22"/>
          <w:szCs w:val="22"/>
        </w:rPr>
        <w:t>atti di acquisto crescere del +79%</w:t>
      </w:r>
      <w:r w:rsidRPr="00D27C87">
        <w:rPr>
          <w:rFonts w:ascii="Calibri" w:hAnsi="Calibri" w:cs="Calibri"/>
          <w:sz w:val="22"/>
          <w:szCs w:val="22"/>
        </w:rPr>
        <w:t xml:space="preserve">, passando da </w:t>
      </w:r>
      <w:r w:rsidRPr="00D27C87">
        <w:rPr>
          <w:rFonts w:ascii="Calibri" w:hAnsi="Calibri" w:cs="Calibri"/>
          <w:b/>
          <w:bCs/>
          <w:sz w:val="22"/>
          <w:szCs w:val="22"/>
        </w:rPr>
        <w:t>28 a 49 milioni</w:t>
      </w:r>
      <w:r w:rsidRPr="00D27C87">
        <w:rPr>
          <w:rFonts w:ascii="Calibri" w:hAnsi="Calibri" w:cs="Calibri"/>
          <w:sz w:val="22"/>
          <w:szCs w:val="22"/>
        </w:rPr>
        <w:t xml:space="preserve">, con un ulteriore </w:t>
      </w:r>
      <w:r w:rsidRPr="00D27C87">
        <w:rPr>
          <w:rFonts w:ascii="Calibri" w:hAnsi="Calibri" w:cs="Calibri"/>
          <w:b/>
          <w:bCs/>
          <w:sz w:val="22"/>
          <w:szCs w:val="22"/>
        </w:rPr>
        <w:t>+18% nell’ultimo anno</w:t>
      </w:r>
      <w:r w:rsidRPr="00D27C87">
        <w:rPr>
          <w:rFonts w:ascii="Calibri" w:hAnsi="Calibri" w:cs="Calibri"/>
          <w:sz w:val="22"/>
          <w:szCs w:val="22"/>
        </w:rPr>
        <w:t xml:space="preserve">. </w:t>
      </w:r>
      <w:proofErr w:type="gramStart"/>
      <w:r w:rsidRPr="00D27C87">
        <w:rPr>
          <w:rFonts w:ascii="Calibri" w:hAnsi="Calibri" w:cs="Calibri"/>
          <w:sz w:val="22"/>
          <w:szCs w:val="22"/>
        </w:rPr>
        <w:t>Un trend</w:t>
      </w:r>
      <w:proofErr w:type="gramEnd"/>
      <w:r w:rsidRPr="00D27C87">
        <w:rPr>
          <w:rFonts w:ascii="Calibri" w:hAnsi="Calibri" w:cs="Calibri"/>
          <w:sz w:val="22"/>
          <w:szCs w:val="22"/>
        </w:rPr>
        <w:t xml:space="preserve"> che riflette un cambiamento strutturale: il </w:t>
      </w:r>
      <w:r w:rsidRPr="00D27C87">
        <w:rPr>
          <w:rFonts w:ascii="Calibri" w:hAnsi="Calibri" w:cs="Calibri"/>
          <w:b/>
          <w:bCs/>
          <w:sz w:val="22"/>
          <w:szCs w:val="22"/>
        </w:rPr>
        <w:t>25% della Generazione Z</w:t>
      </w:r>
      <w:r w:rsidRPr="00D27C87">
        <w:rPr>
          <w:rFonts w:ascii="Calibri" w:hAnsi="Calibri" w:cs="Calibri"/>
          <w:sz w:val="22"/>
          <w:szCs w:val="22"/>
        </w:rPr>
        <w:t xml:space="preserve"> dichiara di scegliere sempre prodotti analcolici, mentre </w:t>
      </w:r>
      <w:r w:rsidRPr="00D27C87">
        <w:rPr>
          <w:rFonts w:ascii="Calibri" w:hAnsi="Calibri" w:cs="Calibri"/>
          <w:b/>
          <w:bCs/>
          <w:sz w:val="22"/>
          <w:szCs w:val="22"/>
        </w:rPr>
        <w:t>oltre la metà dei consumatori</w:t>
      </w:r>
      <w:r w:rsidRPr="00D27C87">
        <w:rPr>
          <w:rFonts w:ascii="Calibri" w:hAnsi="Calibri" w:cs="Calibri"/>
          <w:sz w:val="22"/>
          <w:szCs w:val="22"/>
        </w:rPr>
        <w:t xml:space="preserve"> valuta il consumo in base all’occasione.</w:t>
      </w:r>
    </w:p>
    <w:p w14:paraId="761B5F94" w14:textId="4035FA30" w:rsidR="00D27C87" w:rsidRPr="00D27C87" w:rsidRDefault="00D27C87" w:rsidP="00D27C87">
      <w:pPr>
        <w:spacing w:after="0" w:line="240" w:lineRule="auto"/>
        <w:jc w:val="both"/>
        <w:rPr>
          <w:rFonts w:ascii="Calibri" w:hAnsi="Calibri" w:cs="Calibri"/>
          <w:sz w:val="22"/>
          <w:szCs w:val="22"/>
        </w:rPr>
      </w:pPr>
      <w:r w:rsidRPr="00D27C87">
        <w:rPr>
          <w:rFonts w:ascii="Calibri" w:hAnsi="Calibri" w:cs="Calibri"/>
          <w:sz w:val="22"/>
          <w:szCs w:val="22"/>
        </w:rPr>
        <w:t xml:space="preserve">Segno positivo per la </w:t>
      </w:r>
      <w:r w:rsidRPr="00D27C87">
        <w:rPr>
          <w:rFonts w:ascii="Calibri" w:hAnsi="Calibri" w:cs="Calibri"/>
          <w:b/>
          <w:bCs/>
          <w:sz w:val="22"/>
          <w:szCs w:val="22"/>
        </w:rPr>
        <w:t>birra artigianale</w:t>
      </w:r>
      <w:r w:rsidRPr="00D27C87">
        <w:rPr>
          <w:rFonts w:ascii="Calibri" w:hAnsi="Calibri" w:cs="Calibri"/>
          <w:sz w:val="22"/>
          <w:szCs w:val="22"/>
        </w:rPr>
        <w:t xml:space="preserve">, che conferma vitalità e capacità di attrazione. Gli atti di acquisto sono passati da </w:t>
      </w:r>
      <w:r w:rsidRPr="00D27C87">
        <w:rPr>
          <w:rFonts w:ascii="Calibri" w:hAnsi="Calibri" w:cs="Calibri"/>
          <w:b/>
          <w:bCs/>
          <w:sz w:val="22"/>
          <w:szCs w:val="22"/>
        </w:rPr>
        <w:t xml:space="preserve">159 milioni nel periodo </w:t>
      </w:r>
      <w:proofErr w:type="spellStart"/>
      <w:r w:rsidRPr="00D27C87">
        <w:rPr>
          <w:rFonts w:ascii="Calibri" w:hAnsi="Calibri" w:cs="Calibri"/>
          <w:b/>
          <w:bCs/>
          <w:sz w:val="22"/>
          <w:szCs w:val="22"/>
        </w:rPr>
        <w:t>pre</w:t>
      </w:r>
      <w:proofErr w:type="spellEnd"/>
      <w:r w:rsidRPr="00D27C87">
        <w:rPr>
          <w:rFonts w:ascii="Calibri" w:hAnsi="Calibri" w:cs="Calibri"/>
          <w:b/>
          <w:bCs/>
          <w:sz w:val="22"/>
          <w:szCs w:val="22"/>
        </w:rPr>
        <w:t>-Covid a 183 milioni nel 2025</w:t>
      </w:r>
      <w:r w:rsidRPr="00D27C87">
        <w:rPr>
          <w:rFonts w:ascii="Calibri" w:hAnsi="Calibri" w:cs="Calibri"/>
          <w:sz w:val="22"/>
          <w:szCs w:val="22"/>
        </w:rPr>
        <w:t xml:space="preserve">, con un incremento del </w:t>
      </w:r>
      <w:r w:rsidRPr="00D27C87">
        <w:rPr>
          <w:rFonts w:ascii="Calibri" w:hAnsi="Calibri" w:cs="Calibri"/>
          <w:b/>
          <w:bCs/>
          <w:sz w:val="22"/>
          <w:szCs w:val="22"/>
        </w:rPr>
        <w:t>+15%</w:t>
      </w:r>
      <w:r w:rsidRPr="00D27C87">
        <w:rPr>
          <w:rFonts w:ascii="Calibri" w:hAnsi="Calibri" w:cs="Calibri"/>
          <w:sz w:val="22"/>
          <w:szCs w:val="22"/>
        </w:rPr>
        <w:t>, a testimonianza di un interesse che si mantiene stabile nonostante un contesto macroeconomico complesso.</w:t>
      </w:r>
    </w:p>
    <w:p w14:paraId="132EA7D4" w14:textId="77777777" w:rsidR="00D27C87" w:rsidRDefault="00D27C87" w:rsidP="00D27C87">
      <w:pPr>
        <w:spacing w:after="0" w:line="240" w:lineRule="auto"/>
        <w:jc w:val="both"/>
        <w:rPr>
          <w:rFonts w:ascii="Calibri" w:hAnsi="Calibri" w:cs="Calibri"/>
          <w:sz w:val="22"/>
          <w:szCs w:val="22"/>
        </w:rPr>
      </w:pPr>
      <w:r w:rsidRPr="00D27C87">
        <w:rPr>
          <w:rFonts w:ascii="Calibri" w:hAnsi="Calibri" w:cs="Calibri"/>
          <w:sz w:val="22"/>
          <w:szCs w:val="22"/>
        </w:rPr>
        <w:t xml:space="preserve">A sostenere il comparto è anche il tema del </w:t>
      </w:r>
      <w:r w:rsidRPr="00D27C87">
        <w:rPr>
          <w:rFonts w:ascii="Calibri" w:hAnsi="Calibri" w:cs="Calibri"/>
          <w:b/>
          <w:bCs/>
          <w:sz w:val="22"/>
          <w:szCs w:val="22"/>
        </w:rPr>
        <w:t>consumo responsabile</w:t>
      </w:r>
      <w:r w:rsidRPr="00D27C87">
        <w:rPr>
          <w:rFonts w:ascii="Calibri" w:hAnsi="Calibri" w:cs="Calibri"/>
          <w:sz w:val="22"/>
          <w:szCs w:val="22"/>
        </w:rPr>
        <w:t>: l’</w:t>
      </w:r>
      <w:r w:rsidRPr="00D27C87">
        <w:rPr>
          <w:rFonts w:ascii="Calibri" w:hAnsi="Calibri" w:cs="Calibri"/>
          <w:b/>
          <w:bCs/>
          <w:sz w:val="22"/>
          <w:szCs w:val="22"/>
        </w:rPr>
        <w:t>89% degli italiani</w:t>
      </w:r>
      <w:r w:rsidRPr="00D27C87">
        <w:rPr>
          <w:rFonts w:ascii="Calibri" w:hAnsi="Calibri" w:cs="Calibri"/>
          <w:sz w:val="22"/>
          <w:szCs w:val="22"/>
        </w:rPr>
        <w:t xml:space="preserve"> dichiara comportamenti consapevoli, evitando di bere prima di guidare o lavorare (65%) e prestando attenzione alla propria lucidità mentale (52%), favorendo così la diffusione delle proposte low e no alcol.</w:t>
      </w:r>
    </w:p>
    <w:p w14:paraId="5587E118" w14:textId="77777777" w:rsidR="00505D78" w:rsidRDefault="00505D78" w:rsidP="00D27C87">
      <w:pPr>
        <w:spacing w:after="0" w:line="240" w:lineRule="auto"/>
        <w:jc w:val="both"/>
        <w:rPr>
          <w:rFonts w:ascii="Calibri" w:hAnsi="Calibri" w:cs="Calibri"/>
          <w:sz w:val="22"/>
          <w:szCs w:val="22"/>
        </w:rPr>
      </w:pPr>
    </w:p>
    <w:p w14:paraId="60DC757D" w14:textId="07F15624" w:rsidR="009E2752" w:rsidRPr="009E2752" w:rsidRDefault="009E2752" w:rsidP="00D27C87">
      <w:pPr>
        <w:spacing w:after="0" w:line="240" w:lineRule="auto"/>
        <w:jc w:val="both"/>
        <w:rPr>
          <w:rFonts w:ascii="Calibri" w:hAnsi="Calibri" w:cs="Calibri"/>
          <w:b/>
          <w:bCs/>
          <w:sz w:val="22"/>
          <w:szCs w:val="22"/>
        </w:rPr>
      </w:pPr>
      <w:r w:rsidRPr="009E2752">
        <w:rPr>
          <w:rFonts w:ascii="Calibri" w:hAnsi="Calibri" w:cs="Calibri"/>
          <w:b/>
          <w:bCs/>
          <w:sz w:val="22"/>
          <w:szCs w:val="22"/>
        </w:rPr>
        <w:t>COCKTAIL, SPIRITS E SOFT DRINK SPINGONO IL MERCATO: LA MIXOLOGY TORNA PROTAGONISTA NEL FUORI CASA</w:t>
      </w:r>
    </w:p>
    <w:p w14:paraId="3871E14E" w14:textId="77777777" w:rsidR="00505D78" w:rsidRPr="00581BB2" w:rsidRDefault="00505D78" w:rsidP="00505D78">
      <w:pPr>
        <w:spacing w:after="0" w:line="240" w:lineRule="auto"/>
        <w:jc w:val="both"/>
        <w:rPr>
          <w:rFonts w:ascii="Calibri" w:hAnsi="Calibri" w:cs="Calibri"/>
          <w:sz w:val="22"/>
          <w:szCs w:val="22"/>
        </w:rPr>
      </w:pPr>
      <w:r w:rsidRPr="00581BB2">
        <w:rPr>
          <w:rFonts w:ascii="Calibri" w:hAnsi="Calibri" w:cs="Calibri"/>
          <w:sz w:val="22"/>
          <w:szCs w:val="22"/>
        </w:rPr>
        <w:t xml:space="preserve">Accanto alla birra, </w:t>
      </w:r>
      <w:proofErr w:type="spellStart"/>
      <w:r w:rsidRPr="00581BB2">
        <w:rPr>
          <w:rFonts w:ascii="Calibri" w:hAnsi="Calibri" w:cs="Calibri"/>
          <w:sz w:val="22"/>
          <w:szCs w:val="22"/>
        </w:rPr>
        <w:t>Beer&amp;Food</w:t>
      </w:r>
      <w:proofErr w:type="spellEnd"/>
      <w:r w:rsidRPr="00581BB2">
        <w:rPr>
          <w:rFonts w:ascii="Calibri" w:hAnsi="Calibri" w:cs="Calibri"/>
          <w:sz w:val="22"/>
          <w:szCs w:val="22"/>
        </w:rPr>
        <w:t xml:space="preserve"> </w:t>
      </w:r>
      <w:proofErr w:type="spellStart"/>
      <w:r w:rsidRPr="00581BB2">
        <w:rPr>
          <w:rFonts w:ascii="Calibri" w:hAnsi="Calibri" w:cs="Calibri"/>
          <w:sz w:val="22"/>
          <w:szCs w:val="22"/>
        </w:rPr>
        <w:t>Attraction</w:t>
      </w:r>
      <w:proofErr w:type="spellEnd"/>
      <w:r w:rsidRPr="00581BB2">
        <w:rPr>
          <w:rFonts w:ascii="Calibri" w:hAnsi="Calibri" w:cs="Calibri"/>
          <w:sz w:val="22"/>
          <w:szCs w:val="22"/>
        </w:rPr>
        <w:t xml:space="preserve"> accelera sull’universo della </w:t>
      </w:r>
      <w:r w:rsidRPr="00581BB2">
        <w:rPr>
          <w:rFonts w:ascii="Calibri" w:hAnsi="Calibri" w:cs="Calibri"/>
          <w:b/>
          <w:bCs/>
          <w:sz w:val="22"/>
          <w:szCs w:val="22"/>
        </w:rPr>
        <w:t>mixology</w:t>
      </w:r>
      <w:r w:rsidRPr="00581BB2">
        <w:rPr>
          <w:rFonts w:ascii="Calibri" w:hAnsi="Calibri" w:cs="Calibri"/>
          <w:sz w:val="22"/>
          <w:szCs w:val="22"/>
        </w:rPr>
        <w:t xml:space="preserve">, che nel 2026 trova una nuova centralità con il debutto di </w:t>
      </w:r>
      <w:r w:rsidRPr="00581BB2">
        <w:rPr>
          <w:rFonts w:ascii="Calibri" w:hAnsi="Calibri" w:cs="Calibri"/>
          <w:b/>
          <w:bCs/>
          <w:sz w:val="22"/>
          <w:szCs w:val="22"/>
        </w:rPr>
        <w:t xml:space="preserve">Mixology </w:t>
      </w:r>
      <w:proofErr w:type="spellStart"/>
      <w:r w:rsidRPr="00581BB2">
        <w:rPr>
          <w:rFonts w:ascii="Calibri" w:hAnsi="Calibri" w:cs="Calibri"/>
          <w:b/>
          <w:bCs/>
          <w:sz w:val="22"/>
          <w:szCs w:val="22"/>
        </w:rPr>
        <w:t>Attraction</w:t>
      </w:r>
      <w:proofErr w:type="spellEnd"/>
      <w:r w:rsidRPr="00581BB2">
        <w:rPr>
          <w:rFonts w:ascii="Calibri" w:hAnsi="Calibri" w:cs="Calibri"/>
          <w:sz w:val="22"/>
          <w:szCs w:val="22"/>
        </w:rPr>
        <w:t xml:space="preserve">, area dedicata a </w:t>
      </w:r>
      <w:proofErr w:type="spellStart"/>
      <w:r w:rsidRPr="00581BB2">
        <w:rPr>
          <w:rFonts w:ascii="Calibri" w:hAnsi="Calibri" w:cs="Calibri"/>
          <w:sz w:val="22"/>
          <w:szCs w:val="22"/>
        </w:rPr>
        <w:t>spirits</w:t>
      </w:r>
      <w:proofErr w:type="spellEnd"/>
      <w:r w:rsidRPr="00581BB2">
        <w:rPr>
          <w:rFonts w:ascii="Calibri" w:hAnsi="Calibri" w:cs="Calibri"/>
          <w:sz w:val="22"/>
          <w:szCs w:val="22"/>
        </w:rPr>
        <w:t>, cocktail, soft drink e low &amp; no alcohol.</w:t>
      </w:r>
    </w:p>
    <w:p w14:paraId="0AB3CD3A" w14:textId="041AC94B" w:rsidR="00273EC3" w:rsidRPr="00581BB2" w:rsidRDefault="00505D78" w:rsidP="00505D78">
      <w:pPr>
        <w:spacing w:after="0" w:line="240" w:lineRule="auto"/>
        <w:jc w:val="both"/>
        <w:rPr>
          <w:rFonts w:ascii="Calibri" w:hAnsi="Calibri" w:cs="Calibri"/>
          <w:sz w:val="22"/>
          <w:szCs w:val="22"/>
        </w:rPr>
      </w:pPr>
      <w:r w:rsidRPr="00581BB2">
        <w:rPr>
          <w:rFonts w:ascii="Calibri" w:hAnsi="Calibri" w:cs="Calibri"/>
          <w:sz w:val="22"/>
          <w:szCs w:val="22"/>
        </w:rPr>
        <w:t xml:space="preserve">Gli </w:t>
      </w:r>
      <w:r w:rsidRPr="00581BB2">
        <w:rPr>
          <w:rFonts w:ascii="Calibri" w:hAnsi="Calibri" w:cs="Calibri"/>
          <w:b/>
          <w:bCs/>
          <w:sz w:val="22"/>
          <w:szCs w:val="22"/>
        </w:rPr>
        <w:t>atti complessivi di acquisto di bevande alcoliche e analcoliche fuori casa</w:t>
      </w:r>
      <w:r w:rsidRPr="00581BB2">
        <w:rPr>
          <w:rFonts w:ascii="Calibri" w:hAnsi="Calibri" w:cs="Calibri"/>
          <w:sz w:val="22"/>
          <w:szCs w:val="22"/>
        </w:rPr>
        <w:t xml:space="preserve"> valgono oggi </w:t>
      </w:r>
      <w:r w:rsidRPr="00581BB2">
        <w:rPr>
          <w:rFonts w:ascii="Calibri" w:hAnsi="Calibri" w:cs="Calibri"/>
          <w:b/>
          <w:bCs/>
          <w:sz w:val="22"/>
          <w:szCs w:val="22"/>
        </w:rPr>
        <w:t>2,2 miliardi di euro</w:t>
      </w:r>
      <w:r w:rsidRPr="00581BB2">
        <w:rPr>
          <w:rFonts w:ascii="Calibri" w:hAnsi="Calibri" w:cs="Calibri"/>
          <w:sz w:val="22"/>
          <w:szCs w:val="22"/>
        </w:rPr>
        <w:t xml:space="preserve">, tornando ai livelli </w:t>
      </w:r>
      <w:proofErr w:type="spellStart"/>
      <w:r w:rsidRPr="00581BB2">
        <w:rPr>
          <w:rFonts w:ascii="Calibri" w:hAnsi="Calibri" w:cs="Calibri"/>
          <w:sz w:val="22"/>
          <w:szCs w:val="22"/>
        </w:rPr>
        <w:t>pre</w:t>
      </w:r>
      <w:proofErr w:type="spellEnd"/>
      <w:r w:rsidRPr="00581BB2">
        <w:rPr>
          <w:rFonts w:ascii="Calibri" w:hAnsi="Calibri" w:cs="Calibri"/>
          <w:sz w:val="22"/>
          <w:szCs w:val="22"/>
        </w:rPr>
        <w:t xml:space="preserve">-pandemia. </w:t>
      </w:r>
    </w:p>
    <w:p w14:paraId="3B3E0433" w14:textId="52F0CA42" w:rsidR="00226B91" w:rsidRDefault="00273EC3" w:rsidP="00505D78">
      <w:pPr>
        <w:spacing w:after="0" w:line="240" w:lineRule="auto"/>
        <w:jc w:val="both"/>
        <w:rPr>
          <w:rFonts w:ascii="Calibri" w:hAnsi="Calibri" w:cs="Calibri"/>
          <w:sz w:val="22"/>
          <w:szCs w:val="22"/>
        </w:rPr>
      </w:pPr>
      <w:r w:rsidRPr="00581BB2">
        <w:rPr>
          <w:rFonts w:ascii="Calibri" w:hAnsi="Calibri" w:cs="Calibri"/>
          <w:sz w:val="22"/>
          <w:szCs w:val="22"/>
        </w:rPr>
        <w:t xml:space="preserve"> A crescere sono stati </w:t>
      </w:r>
      <w:r w:rsidRPr="00581BB2">
        <w:rPr>
          <w:rFonts w:ascii="Calibri" w:hAnsi="Calibri" w:cs="Calibri"/>
          <w:b/>
          <w:bCs/>
          <w:sz w:val="22"/>
          <w:szCs w:val="22"/>
        </w:rPr>
        <w:t xml:space="preserve">principalmente i soft drink privi di anidride carbonica (+24%) e </w:t>
      </w:r>
      <w:proofErr w:type="gramStart"/>
      <w:r w:rsidRPr="00581BB2">
        <w:rPr>
          <w:rFonts w:ascii="Calibri" w:hAnsi="Calibri" w:cs="Calibri"/>
          <w:b/>
          <w:bCs/>
          <w:sz w:val="22"/>
          <w:szCs w:val="22"/>
        </w:rPr>
        <w:t>i  cocktail</w:t>
      </w:r>
      <w:proofErr w:type="gramEnd"/>
      <w:r w:rsidRPr="00581BB2">
        <w:rPr>
          <w:rFonts w:ascii="Calibri" w:hAnsi="Calibri" w:cs="Calibri"/>
          <w:b/>
          <w:bCs/>
          <w:sz w:val="22"/>
          <w:szCs w:val="22"/>
        </w:rPr>
        <w:t xml:space="preserve"> alcolici (+32%, da 69 milioni agli attuali 91) oltre a liquori e superalcolici, che dai 58 milioni del 2019 sono arrivati ai 76 dello scorso agosto (+30%</w:t>
      </w:r>
      <w:r w:rsidRPr="00581BB2">
        <w:rPr>
          <w:rFonts w:ascii="Calibri" w:hAnsi="Calibri" w:cs="Calibri"/>
          <w:sz w:val="22"/>
          <w:szCs w:val="22"/>
        </w:rPr>
        <w:t>) in grande crescita anche nell’ultimo anno (+23% sul 2024).</w:t>
      </w:r>
      <w:r w:rsidRPr="00273EC3">
        <w:rPr>
          <w:rFonts w:ascii="Calibri" w:hAnsi="Calibri" w:cs="Calibri"/>
          <w:sz w:val="22"/>
          <w:szCs w:val="22"/>
        </w:rPr>
        <w:t xml:space="preserve"> </w:t>
      </w:r>
    </w:p>
    <w:p w14:paraId="2B099AA5" w14:textId="2E1784A3" w:rsidR="00DA3B82" w:rsidRPr="00505D78" w:rsidRDefault="008B673B" w:rsidP="00505D78">
      <w:pPr>
        <w:spacing w:after="0" w:line="240" w:lineRule="auto"/>
        <w:jc w:val="both"/>
        <w:rPr>
          <w:rFonts w:ascii="Calibri" w:hAnsi="Calibri" w:cs="Calibri"/>
          <w:sz w:val="22"/>
          <w:szCs w:val="22"/>
        </w:rPr>
      </w:pPr>
      <w:r>
        <w:rPr>
          <w:rFonts w:ascii="Calibri" w:hAnsi="Calibri" w:cs="Calibri"/>
          <w:sz w:val="22"/>
          <w:szCs w:val="22"/>
        </w:rPr>
        <w:t xml:space="preserve">Secondo i dati </w:t>
      </w:r>
      <w:proofErr w:type="spellStart"/>
      <w:r>
        <w:rPr>
          <w:rFonts w:ascii="Calibri" w:hAnsi="Calibri" w:cs="Calibri"/>
          <w:sz w:val="22"/>
          <w:szCs w:val="22"/>
        </w:rPr>
        <w:t>Circana</w:t>
      </w:r>
      <w:proofErr w:type="spellEnd"/>
      <w:r>
        <w:rPr>
          <w:rFonts w:ascii="Calibri" w:hAnsi="Calibri" w:cs="Calibri"/>
          <w:sz w:val="22"/>
          <w:szCs w:val="22"/>
        </w:rPr>
        <w:t xml:space="preserve"> riferiti ai primi mesi del 2025</w:t>
      </w:r>
      <w:r w:rsidR="00AB1F4C" w:rsidRPr="00AB1F4C">
        <w:rPr>
          <w:rFonts w:ascii="Calibri" w:hAnsi="Calibri" w:cs="Calibri"/>
          <w:sz w:val="22"/>
          <w:szCs w:val="22"/>
        </w:rPr>
        <w:t xml:space="preserve"> le categorie dedicate alla </w:t>
      </w:r>
      <w:proofErr w:type="spellStart"/>
      <w:r w:rsidR="00AB1F4C" w:rsidRPr="00AB1F4C">
        <w:rPr>
          <w:rFonts w:ascii="Calibri" w:hAnsi="Calibri" w:cs="Calibri"/>
          <w:sz w:val="22"/>
          <w:szCs w:val="22"/>
        </w:rPr>
        <w:t>mixability</w:t>
      </w:r>
      <w:proofErr w:type="spellEnd"/>
      <w:r w:rsidR="00AB1F4C" w:rsidRPr="00AB1F4C">
        <w:rPr>
          <w:rFonts w:ascii="Calibri" w:hAnsi="Calibri" w:cs="Calibri"/>
          <w:sz w:val="22"/>
          <w:szCs w:val="22"/>
        </w:rPr>
        <w:t xml:space="preserve"> continuano a rafforzare la propria rilevanza, arrivando a sfiorare il 57% dell’intero mercato Alcolici</w:t>
      </w:r>
      <w:r w:rsidR="00581BB2">
        <w:rPr>
          <w:rFonts w:ascii="Calibri" w:hAnsi="Calibri" w:cs="Calibri"/>
          <w:sz w:val="22"/>
          <w:szCs w:val="22"/>
        </w:rPr>
        <w:t xml:space="preserve">. </w:t>
      </w:r>
      <w:r w:rsidR="00AB1F4C" w:rsidRPr="00AB1F4C">
        <w:rPr>
          <w:rFonts w:ascii="Calibri" w:hAnsi="Calibri" w:cs="Calibri"/>
          <w:sz w:val="22"/>
          <w:szCs w:val="22"/>
        </w:rPr>
        <w:t>In questo contesto, Aperitivi Alcolici e Tequila si sono distinti per il loro dinamismo, con crescite solide e costanti, mentre i Gin stanno attraversando una fase di assestamento dopo anni di forte espansione.</w:t>
      </w:r>
    </w:p>
    <w:p w14:paraId="39EE05F3" w14:textId="77777777" w:rsidR="00505D78" w:rsidRPr="00D27C87" w:rsidRDefault="00505D78" w:rsidP="00D27C87">
      <w:pPr>
        <w:spacing w:after="0" w:line="240" w:lineRule="auto"/>
        <w:jc w:val="both"/>
        <w:rPr>
          <w:rFonts w:ascii="Calibri" w:hAnsi="Calibri" w:cs="Calibri"/>
          <w:sz w:val="22"/>
          <w:szCs w:val="22"/>
        </w:rPr>
      </w:pPr>
    </w:p>
    <w:p w14:paraId="1C1FEF43" w14:textId="77777777" w:rsidR="0086342A" w:rsidRDefault="0086342A" w:rsidP="00A82906">
      <w:pPr>
        <w:spacing w:after="0" w:line="240" w:lineRule="auto"/>
        <w:jc w:val="both"/>
        <w:rPr>
          <w:rFonts w:ascii="Calibri" w:hAnsi="Calibri" w:cs="Calibri"/>
          <w:sz w:val="22"/>
          <w:szCs w:val="22"/>
        </w:rPr>
      </w:pPr>
    </w:p>
    <w:p w14:paraId="32BA6A2C" w14:textId="77777777" w:rsidR="00893A05" w:rsidRPr="009131A9" w:rsidRDefault="00893A05" w:rsidP="00893A05">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 xml:space="preserve">Head of media relation &amp; corporate </w:t>
      </w:r>
      <w:proofErr w:type="spellStart"/>
      <w:r w:rsidRPr="009131A9">
        <w:rPr>
          <w:rFonts w:ascii="Calibri" w:hAnsi="Calibri" w:cs="Calibri"/>
          <w:b/>
          <w:sz w:val="20"/>
          <w:szCs w:val="20"/>
        </w:rPr>
        <w:t>communication</w:t>
      </w:r>
      <w:proofErr w:type="spellEnd"/>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 xml:space="preserve">press office </w:t>
      </w:r>
      <w:proofErr w:type="spellStart"/>
      <w:r w:rsidRPr="009131A9">
        <w:rPr>
          <w:rFonts w:ascii="Calibri" w:hAnsi="Calibri" w:cs="Calibri"/>
          <w:b/>
          <w:sz w:val="20"/>
          <w:szCs w:val="20"/>
        </w:rPr>
        <w:t>specialist</w:t>
      </w:r>
      <w:proofErr w:type="spellEnd"/>
      <w:r w:rsidRPr="009131A9">
        <w:rPr>
          <w:rFonts w:ascii="Calibri" w:hAnsi="Calibri" w:cs="Calibri"/>
          <w:sz w:val="20"/>
          <w:szCs w:val="20"/>
        </w:rPr>
        <w:t xml:space="preserve">: Nicoletta Evangelisti, Mirko Malgieri; </w:t>
      </w:r>
      <w:hyperlink r:id="rId9" w:history="1">
        <w:r w:rsidRPr="009131A9">
          <w:rPr>
            <w:rStyle w:val="Collegamentoipertestuale"/>
            <w:rFonts w:ascii="Calibri" w:hAnsi="Calibri" w:cs="Calibri"/>
            <w:sz w:val="20"/>
            <w:szCs w:val="20"/>
          </w:rPr>
          <w:t>media@iegexpo.it</w:t>
        </w:r>
      </w:hyperlink>
    </w:p>
    <w:p w14:paraId="3487D70D" w14:textId="77777777" w:rsidR="00893A05" w:rsidRPr="009131A9" w:rsidRDefault="00893A05" w:rsidP="00893A05">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10"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1"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12"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5A51E8FC" w14:textId="77777777" w:rsidR="00893A05" w:rsidRDefault="00893A05" w:rsidP="00893A05">
      <w:pPr>
        <w:rPr>
          <w:rFonts w:ascii="Calibri" w:hAnsi="Calibri" w:cs="Calibri"/>
          <w:sz w:val="22"/>
          <w:szCs w:val="22"/>
        </w:rPr>
      </w:pPr>
    </w:p>
    <w:p w14:paraId="1363EE88" w14:textId="77777777" w:rsidR="00893A05" w:rsidRPr="009131A9" w:rsidRDefault="00893A05" w:rsidP="00893A05">
      <w:pPr>
        <w:rPr>
          <w:rFonts w:ascii="Calibri" w:hAnsi="Calibri" w:cs="Calibri"/>
          <w:sz w:val="22"/>
          <w:szCs w:val="22"/>
        </w:rPr>
      </w:pPr>
      <w:r>
        <w:rPr>
          <w:noProof/>
        </w:rPr>
        <w:lastRenderedPageBreak/>
        <w:drawing>
          <wp:inline distT="0" distB="0" distL="0" distR="0" wp14:anchorId="289B3201" wp14:editId="64DA2BD9">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2E8820F7" w14:textId="37974ADD" w:rsidR="00893A05" w:rsidRPr="00072C48" w:rsidRDefault="00893A05" w:rsidP="00072C48">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specie per quanto riguarda performance gestionali future, realizzazione di investimenti, andamento dei flussi di cassa ed evoluzione della struttura finanziaria. I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893A05" w:rsidRPr="00072C48">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58F2" w14:textId="77777777" w:rsidR="009263D9" w:rsidRDefault="009263D9" w:rsidP="008F320C">
      <w:pPr>
        <w:spacing w:after="0" w:line="240" w:lineRule="auto"/>
      </w:pPr>
      <w:r>
        <w:separator/>
      </w:r>
    </w:p>
  </w:endnote>
  <w:endnote w:type="continuationSeparator" w:id="0">
    <w:p w14:paraId="053B378D" w14:textId="77777777" w:rsidR="009263D9" w:rsidRDefault="009263D9"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901A" w14:textId="77777777" w:rsidR="009263D9" w:rsidRDefault="009263D9" w:rsidP="008F320C">
      <w:pPr>
        <w:spacing w:after="0" w:line="240" w:lineRule="auto"/>
      </w:pPr>
      <w:r>
        <w:separator/>
      </w:r>
    </w:p>
  </w:footnote>
  <w:footnote w:type="continuationSeparator" w:id="0">
    <w:p w14:paraId="555BAF80" w14:textId="77777777" w:rsidR="009263D9" w:rsidRDefault="009263D9"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3D4"/>
    <w:multiLevelType w:val="hybridMultilevel"/>
    <w:tmpl w:val="19C045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4A10D3"/>
    <w:multiLevelType w:val="hybridMultilevel"/>
    <w:tmpl w:val="5BECC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CD2522"/>
    <w:multiLevelType w:val="multilevel"/>
    <w:tmpl w:val="7152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905E6"/>
    <w:multiLevelType w:val="multilevel"/>
    <w:tmpl w:val="F792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26DD1"/>
    <w:multiLevelType w:val="hybridMultilevel"/>
    <w:tmpl w:val="EE00F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0F6CCC"/>
    <w:multiLevelType w:val="hybridMultilevel"/>
    <w:tmpl w:val="17BAB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B500C4"/>
    <w:multiLevelType w:val="hybridMultilevel"/>
    <w:tmpl w:val="CAB290D6"/>
    <w:lvl w:ilvl="0" w:tplc="8D1CFE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117410">
    <w:abstractNumId w:val="10"/>
  </w:num>
  <w:num w:numId="2" w16cid:durableId="1388917233">
    <w:abstractNumId w:val="3"/>
  </w:num>
  <w:num w:numId="3" w16cid:durableId="358555895">
    <w:abstractNumId w:val="5"/>
  </w:num>
  <w:num w:numId="4" w16cid:durableId="1133716734">
    <w:abstractNumId w:val="11"/>
  </w:num>
  <w:num w:numId="5" w16cid:durableId="1740983685">
    <w:abstractNumId w:val="8"/>
  </w:num>
  <w:num w:numId="6" w16cid:durableId="556009723">
    <w:abstractNumId w:val="9"/>
  </w:num>
  <w:num w:numId="7" w16cid:durableId="1553536327">
    <w:abstractNumId w:val="0"/>
  </w:num>
  <w:num w:numId="8" w16cid:durableId="2099131736">
    <w:abstractNumId w:val="7"/>
  </w:num>
  <w:num w:numId="9" w16cid:durableId="1310405352">
    <w:abstractNumId w:val="4"/>
  </w:num>
  <w:num w:numId="10" w16cid:durableId="1598556930">
    <w:abstractNumId w:val="1"/>
  </w:num>
  <w:num w:numId="11" w16cid:durableId="217866193">
    <w:abstractNumId w:val="2"/>
  </w:num>
  <w:num w:numId="12" w16cid:durableId="1724132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00473A"/>
    <w:rsid w:val="00055B8E"/>
    <w:rsid w:val="00055E0F"/>
    <w:rsid w:val="000573E6"/>
    <w:rsid w:val="000650C3"/>
    <w:rsid w:val="00072C48"/>
    <w:rsid w:val="0009529F"/>
    <w:rsid w:val="000A1BCE"/>
    <w:rsid w:val="000C5381"/>
    <w:rsid w:val="000D0033"/>
    <w:rsid w:val="000D6C49"/>
    <w:rsid w:val="000F5DE1"/>
    <w:rsid w:val="00111049"/>
    <w:rsid w:val="001115CA"/>
    <w:rsid w:val="00121138"/>
    <w:rsid w:val="00147304"/>
    <w:rsid w:val="0019220E"/>
    <w:rsid w:val="00196B67"/>
    <w:rsid w:val="001C4942"/>
    <w:rsid w:val="001C59F6"/>
    <w:rsid w:val="001F1EA9"/>
    <w:rsid w:val="001F3B35"/>
    <w:rsid w:val="00226B91"/>
    <w:rsid w:val="002356C3"/>
    <w:rsid w:val="00243D59"/>
    <w:rsid w:val="00267C85"/>
    <w:rsid w:val="0027126F"/>
    <w:rsid w:val="00273EC3"/>
    <w:rsid w:val="00286539"/>
    <w:rsid w:val="00292664"/>
    <w:rsid w:val="00293B20"/>
    <w:rsid w:val="002A49A1"/>
    <w:rsid w:val="002B347F"/>
    <w:rsid w:val="002C4087"/>
    <w:rsid w:val="002D01EE"/>
    <w:rsid w:val="002D2A9E"/>
    <w:rsid w:val="002D5CAC"/>
    <w:rsid w:val="002F22F5"/>
    <w:rsid w:val="003020D1"/>
    <w:rsid w:val="00317AC8"/>
    <w:rsid w:val="00334CE0"/>
    <w:rsid w:val="00336F18"/>
    <w:rsid w:val="003567F9"/>
    <w:rsid w:val="00356A9F"/>
    <w:rsid w:val="0037319A"/>
    <w:rsid w:val="003830F2"/>
    <w:rsid w:val="00391C7A"/>
    <w:rsid w:val="00397E15"/>
    <w:rsid w:val="003D69C1"/>
    <w:rsid w:val="00400ECF"/>
    <w:rsid w:val="004149BB"/>
    <w:rsid w:val="00441707"/>
    <w:rsid w:val="00457698"/>
    <w:rsid w:val="004956C5"/>
    <w:rsid w:val="004B1EAB"/>
    <w:rsid w:val="004C6BE2"/>
    <w:rsid w:val="004D357E"/>
    <w:rsid w:val="00505D78"/>
    <w:rsid w:val="00506444"/>
    <w:rsid w:val="00507570"/>
    <w:rsid w:val="00510420"/>
    <w:rsid w:val="00523AB6"/>
    <w:rsid w:val="00535F9A"/>
    <w:rsid w:val="005408A5"/>
    <w:rsid w:val="0054139B"/>
    <w:rsid w:val="00566759"/>
    <w:rsid w:val="00567BA5"/>
    <w:rsid w:val="005763B3"/>
    <w:rsid w:val="00581BB2"/>
    <w:rsid w:val="00586BFC"/>
    <w:rsid w:val="00587DDC"/>
    <w:rsid w:val="005C7A65"/>
    <w:rsid w:val="005D0475"/>
    <w:rsid w:val="005D50B0"/>
    <w:rsid w:val="005F17FE"/>
    <w:rsid w:val="005F664D"/>
    <w:rsid w:val="0061111B"/>
    <w:rsid w:val="00613BC2"/>
    <w:rsid w:val="00621B09"/>
    <w:rsid w:val="00651E43"/>
    <w:rsid w:val="00697229"/>
    <w:rsid w:val="006A2F7D"/>
    <w:rsid w:val="006B6454"/>
    <w:rsid w:val="006C5FB6"/>
    <w:rsid w:val="00747B7D"/>
    <w:rsid w:val="00752369"/>
    <w:rsid w:val="007717CA"/>
    <w:rsid w:val="00796406"/>
    <w:rsid w:val="007A4AA8"/>
    <w:rsid w:val="007A63ED"/>
    <w:rsid w:val="007C05CB"/>
    <w:rsid w:val="007C25EF"/>
    <w:rsid w:val="007C351F"/>
    <w:rsid w:val="007D14E9"/>
    <w:rsid w:val="007E18F4"/>
    <w:rsid w:val="00825409"/>
    <w:rsid w:val="0084023D"/>
    <w:rsid w:val="008430A2"/>
    <w:rsid w:val="0085769B"/>
    <w:rsid w:val="0086342A"/>
    <w:rsid w:val="0086452B"/>
    <w:rsid w:val="00866152"/>
    <w:rsid w:val="008722AE"/>
    <w:rsid w:val="0089013F"/>
    <w:rsid w:val="00893A05"/>
    <w:rsid w:val="008A3F03"/>
    <w:rsid w:val="008B673B"/>
    <w:rsid w:val="008C5DD9"/>
    <w:rsid w:val="008D11A4"/>
    <w:rsid w:val="008E085C"/>
    <w:rsid w:val="008E6407"/>
    <w:rsid w:val="008F320C"/>
    <w:rsid w:val="0091097D"/>
    <w:rsid w:val="009263D9"/>
    <w:rsid w:val="00930CDC"/>
    <w:rsid w:val="009613BC"/>
    <w:rsid w:val="009713A4"/>
    <w:rsid w:val="00981723"/>
    <w:rsid w:val="00982512"/>
    <w:rsid w:val="00983DDE"/>
    <w:rsid w:val="00986E92"/>
    <w:rsid w:val="009A63CE"/>
    <w:rsid w:val="009B1C05"/>
    <w:rsid w:val="009C7731"/>
    <w:rsid w:val="009D6F93"/>
    <w:rsid w:val="009E2752"/>
    <w:rsid w:val="00A00ADE"/>
    <w:rsid w:val="00A149C4"/>
    <w:rsid w:val="00A30425"/>
    <w:rsid w:val="00A306A7"/>
    <w:rsid w:val="00A33677"/>
    <w:rsid w:val="00A3563E"/>
    <w:rsid w:val="00A70313"/>
    <w:rsid w:val="00A82906"/>
    <w:rsid w:val="00A87E5F"/>
    <w:rsid w:val="00AB1F4C"/>
    <w:rsid w:val="00AB6B50"/>
    <w:rsid w:val="00AE3B31"/>
    <w:rsid w:val="00AE61BD"/>
    <w:rsid w:val="00AF701F"/>
    <w:rsid w:val="00B026A1"/>
    <w:rsid w:val="00B536AF"/>
    <w:rsid w:val="00B55E12"/>
    <w:rsid w:val="00B861EF"/>
    <w:rsid w:val="00BD342C"/>
    <w:rsid w:val="00BE2E54"/>
    <w:rsid w:val="00BF2C72"/>
    <w:rsid w:val="00C211B8"/>
    <w:rsid w:val="00C50629"/>
    <w:rsid w:val="00C55AD9"/>
    <w:rsid w:val="00C77731"/>
    <w:rsid w:val="00CA0F15"/>
    <w:rsid w:val="00CA2056"/>
    <w:rsid w:val="00CB68F3"/>
    <w:rsid w:val="00CB69E7"/>
    <w:rsid w:val="00CC4313"/>
    <w:rsid w:val="00CE4D3B"/>
    <w:rsid w:val="00D11094"/>
    <w:rsid w:val="00D13576"/>
    <w:rsid w:val="00D27C87"/>
    <w:rsid w:val="00D3378A"/>
    <w:rsid w:val="00D42079"/>
    <w:rsid w:val="00D56A0E"/>
    <w:rsid w:val="00D61D47"/>
    <w:rsid w:val="00D70BAE"/>
    <w:rsid w:val="00D84022"/>
    <w:rsid w:val="00DA3B0F"/>
    <w:rsid w:val="00DA3B82"/>
    <w:rsid w:val="00DA5441"/>
    <w:rsid w:val="00DB197D"/>
    <w:rsid w:val="00DC1B76"/>
    <w:rsid w:val="00DD058B"/>
    <w:rsid w:val="00DD4EBB"/>
    <w:rsid w:val="00DF4E5A"/>
    <w:rsid w:val="00E046C7"/>
    <w:rsid w:val="00E10ED9"/>
    <w:rsid w:val="00E1323F"/>
    <w:rsid w:val="00E2659A"/>
    <w:rsid w:val="00E30ADD"/>
    <w:rsid w:val="00E70504"/>
    <w:rsid w:val="00E84275"/>
    <w:rsid w:val="00E915F4"/>
    <w:rsid w:val="00EC1DF6"/>
    <w:rsid w:val="00EC25BD"/>
    <w:rsid w:val="00ED7A6A"/>
    <w:rsid w:val="00EE6BAF"/>
    <w:rsid w:val="00F16B54"/>
    <w:rsid w:val="00F24E73"/>
    <w:rsid w:val="00F269F6"/>
    <w:rsid w:val="00F547D7"/>
    <w:rsid w:val="00F7687A"/>
    <w:rsid w:val="00F8011F"/>
    <w:rsid w:val="00F82CCD"/>
    <w:rsid w:val="00F94015"/>
    <w:rsid w:val="00FB281E"/>
    <w:rsid w:val="00FB6FC2"/>
    <w:rsid w:val="00FB7FCC"/>
    <w:rsid w:val="00FC7850"/>
    <w:rsid w:val="00FC7ACB"/>
    <w:rsid w:val="00FD1DAE"/>
    <w:rsid w:val="00FD289C"/>
    <w:rsid w:val="00FD448F"/>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 w:type="paragraph" w:styleId="NormaleWeb">
    <w:name w:val="Normal (Web)"/>
    <w:basedOn w:val="Normale"/>
    <w:uiPriority w:val="99"/>
    <w:semiHidden/>
    <w:unhideWhenUsed/>
    <w:rsid w:val="00292664"/>
    <w:rPr>
      <w:rFonts w:ascii="Times New Roman" w:hAnsi="Times New Roman" w:cs="Times New Roman"/>
    </w:rPr>
  </w:style>
  <w:style w:type="character" w:styleId="Menzionenonrisolta">
    <w:name w:val="Unresolved Mention"/>
    <w:basedOn w:val="Carpredefinitoparagrafo"/>
    <w:uiPriority w:val="99"/>
    <w:semiHidden/>
    <w:unhideWhenUsed/>
    <w:rsid w:val="00441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xologyattraction.com/it"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eerandfoodattraction.it/" TargetMode="External"/><Relationship Id="rId12" Type="http://schemas.openxmlformats.org/officeDocument/2006/relationships/hyperlink" Target="mailto:stefano@mindthepo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rizio@mindthepo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tina@mindthepop.it" TargetMode="External"/><Relationship Id="rId4" Type="http://schemas.openxmlformats.org/officeDocument/2006/relationships/webSettings" Target="webSettings.xml"/><Relationship Id="rId9" Type="http://schemas.openxmlformats.org/officeDocument/2006/relationships/hyperlink" Target="mailto:media@iegexpo.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4024</Characters>
  <Application>Microsoft Office Word</Application>
  <DocSecurity>4</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2025-12-17T15:43:00Z</cp:lastPrinted>
  <dcterms:created xsi:type="dcterms:W3CDTF">2026-02-09T15:20:00Z</dcterms:created>
  <dcterms:modified xsi:type="dcterms:W3CDTF">2026-02-09T15:20:00Z</dcterms:modified>
</cp:coreProperties>
</file>